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榆树市</w:t>
      </w:r>
      <w:r>
        <w:rPr>
          <w:rFonts w:hint="eastAsia" w:ascii="方正小标宋_GBK" w:eastAsia="方正小标宋_GBK"/>
          <w:sz w:val="44"/>
          <w:szCs w:val="44"/>
        </w:rPr>
        <w:t>人民法院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裁判文书质量筛查通报</w:t>
      </w:r>
    </w:p>
    <w:p>
      <w:pPr>
        <w:spacing w:line="50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为进一步规范我院互联网裁判文书公开工作，有效促进裁判文书工作质量提升。审判监督管理团队对我院2022年已上网裁判文书进行了质量筛查和抽查，现将质量筛查时存在的问题分类汇总，具体情况通报如下：</w:t>
      </w:r>
    </w:p>
    <w:p>
      <w:pPr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一、裁判文书错误情形</w:t>
      </w:r>
    </w:p>
    <w:p>
      <w:pPr>
        <w:ind w:firstLine="643" w:firstLineChars="200"/>
        <w:jc w:val="lef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（一）、文书命名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1、裁判文书命名，当事人之间应用“与”进行连接；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2、命名不应出现当事人诉讼地位、不应出现“一案”；</w:t>
      </w:r>
    </w:p>
    <w:p>
      <w:pPr>
        <w:ind w:firstLine="643" w:firstLineChars="200"/>
        <w:jc w:val="lef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（二）、文书信息屏蔽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1、当事人住所地应屏蔽至所属县、区；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2、不动产权属证书编号，应做部分替代；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3、车牌号、身份证号、银行卡号应做部分替代；</w:t>
      </w:r>
    </w:p>
    <w:p>
      <w:pPr>
        <w:ind w:firstLine="643" w:firstLineChars="200"/>
        <w:jc w:val="lef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（三）、隐名处理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1、未成年人及其法定代理人，应做隐名处理；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2、婚姻家庭纠纷案件中的当事人，应作隐名处理；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3、对不同姓名隐名处理后重复的，应在姓名后增加阿拉伯数字进行区分；</w:t>
      </w:r>
    </w:p>
    <w:p>
      <w:pPr>
        <w:ind w:firstLine="643" w:firstLineChars="200"/>
        <w:jc w:val="lef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（四）、文书格式、标点符号</w:t>
      </w: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1、个别文书存在</w:t>
      </w:r>
      <w:r>
        <w:rPr>
          <w:rFonts w:hint="eastAsia" w:ascii="仿宋_GB2312" w:hAnsi="宋体" w:eastAsia="仿宋_GB2312" w:cs="Times New Roman"/>
          <w:sz w:val="32"/>
          <w:szCs w:val="32"/>
        </w:rPr>
        <w:t>错字或重字、漏字、多字</w:t>
      </w:r>
      <w:r>
        <w:rPr>
          <w:rFonts w:hint="eastAsia" w:ascii="仿宋_GB2312" w:hAnsi="宋体" w:eastAsia="仿宋_GB2312"/>
          <w:sz w:val="32"/>
          <w:szCs w:val="32"/>
        </w:rPr>
        <w:t>情况；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2、文书标题与正文字体不符合规定，格式、排版错误；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3、序号、中英文符号使用混乱；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4、法院名称错误；</w:t>
      </w:r>
    </w:p>
    <w:p>
      <w:pPr>
        <w:ind w:firstLine="643" w:firstLineChars="200"/>
        <w:jc w:val="lef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（五）、法律及司法解释名称表述错误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判决书、结案通知书中对引用的法律表述出现明显错误，存在缺字、错字情况；</w:t>
      </w:r>
    </w:p>
    <w:p>
      <w:pPr>
        <w:ind w:firstLine="643" w:firstLineChars="200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（六）、</w:t>
      </w:r>
      <w:r>
        <w:rPr>
          <w:rFonts w:hint="eastAsia" w:ascii="仿宋_GB2312" w:hAnsi="黑体" w:eastAsia="仿宋_GB2312"/>
          <w:b/>
          <w:sz w:val="32"/>
          <w:szCs w:val="32"/>
        </w:rPr>
        <w:t>行政区划表述错误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1、行政区划表述与实际情况不符，隶属关系不明确；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2、当事人住址、公司住所地存在常识性表述错误</w:t>
      </w:r>
    </w:p>
    <w:p>
      <w:pPr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二、下步工作举措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裁判文书质量是案件质量的直接体现，法官作为案件质量的第一责任人，必须严把裁判文书质量关，做到慎之又慎、细之又细、严之又严，从源头上杜绝低级错误产生。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法官、审判长、庭长、分管院领导要逐级把关，切实履行好审判监督管理职责，尤其是对上网裁判文书进行严格审核，确保每一件案件经得起群众的监督、历史的检验。</w:t>
      </w:r>
    </w:p>
    <w:p>
      <w:pPr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提高智能纠错软件的应用率，充分发挥信息化手段辅助办案的功效，及时发现裁判文书错误，及时做出更正，坚决杜绝裁判文书“带病印发”“带病上网”。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根据裁判文书制作规范和诉讼文书样式，统一裁判文书写作标准，做到格式统一、要素齐全、结构完整、繁简得当、逻辑紧密、用语准确，促进裁判文书更加规范化。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裁判文书公开工作，是人民法院接受社会监督的重要方式，是向社会展示司法公开的重要途径。请大家在公开前认真校对、自查自纠，切实做到“以公开为原则，不公开为例外”的裁判文书上网工作要求，不断提升我院的裁判文书公开质量，做到依法、全面、及时、规范的公开裁判文书。审判监督管理团队将定期进行通报，并按照绩效考核方案进行相应处理。</w:t>
      </w:r>
    </w:p>
    <w:p>
      <w:pPr>
        <w:ind w:right="640" w:firstLine="660"/>
        <w:jc w:val="right"/>
        <w:rPr>
          <w:rFonts w:ascii="仿宋_GB2312" w:eastAsia="仿宋_GB2312"/>
          <w:sz w:val="32"/>
          <w:szCs w:val="32"/>
        </w:rPr>
      </w:pPr>
    </w:p>
    <w:p>
      <w:pPr>
        <w:ind w:right="640" w:firstLine="66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榆树市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人民法院审判监督管理团队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NjA1NzA5OWMzM2NhYjQ5NTAzYjc5MDE0ZTYwNWIifQ=="/>
  </w:docVars>
  <w:rsids>
    <w:rsidRoot w:val="002D0342"/>
    <w:rsid w:val="00050B01"/>
    <w:rsid w:val="000E708C"/>
    <w:rsid w:val="0018390E"/>
    <w:rsid w:val="001A6739"/>
    <w:rsid w:val="001B4A45"/>
    <w:rsid w:val="001E7378"/>
    <w:rsid w:val="00246364"/>
    <w:rsid w:val="0027539A"/>
    <w:rsid w:val="00296440"/>
    <w:rsid w:val="002A402D"/>
    <w:rsid w:val="002B2C36"/>
    <w:rsid w:val="002D0342"/>
    <w:rsid w:val="00343522"/>
    <w:rsid w:val="0035752B"/>
    <w:rsid w:val="003A29FC"/>
    <w:rsid w:val="003F5BB0"/>
    <w:rsid w:val="004C6146"/>
    <w:rsid w:val="0051622E"/>
    <w:rsid w:val="00524490"/>
    <w:rsid w:val="00555DD3"/>
    <w:rsid w:val="00765021"/>
    <w:rsid w:val="008719CD"/>
    <w:rsid w:val="00887081"/>
    <w:rsid w:val="00891D37"/>
    <w:rsid w:val="00913A2B"/>
    <w:rsid w:val="009152EB"/>
    <w:rsid w:val="00956695"/>
    <w:rsid w:val="00977495"/>
    <w:rsid w:val="009A4B19"/>
    <w:rsid w:val="009C12E2"/>
    <w:rsid w:val="009E6A03"/>
    <w:rsid w:val="00A4591D"/>
    <w:rsid w:val="00A47729"/>
    <w:rsid w:val="00AB1060"/>
    <w:rsid w:val="00BB01D5"/>
    <w:rsid w:val="00BE7819"/>
    <w:rsid w:val="00D34C76"/>
    <w:rsid w:val="00D86AB1"/>
    <w:rsid w:val="00DF0F13"/>
    <w:rsid w:val="00EA62CE"/>
    <w:rsid w:val="00EF38A2"/>
    <w:rsid w:val="00EF534F"/>
    <w:rsid w:val="0EA3692B"/>
    <w:rsid w:val="3F1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1000</Words>
  <Characters>1003</Characters>
  <Lines>7</Lines>
  <Paragraphs>2</Paragraphs>
  <TotalTime>206</TotalTime>
  <ScaleCrop>false</ScaleCrop>
  <LinksUpToDate>false</LinksUpToDate>
  <CharactersWithSpaces>1003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2021-09-07T06:31:00Z</dcterms:created>
  <dc:creator>高新法院</dc:creator>
  <cp:lastModifiedBy>天，，，，</cp:lastModifiedBy>
  <cp:lastPrinted>2021-09-08T00:58:00Z</cp:lastPrinted>
  <dcterms:modified xsi:type="dcterms:W3CDTF">2022-11-22T07:22:04Z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F8AA86207A4E4DE7BCCF39716A49685E</vt:lpwstr>
  </property>
</Properties>
</file>